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5CB6AF">
        <w:tc>
          <w:tcPr>
            <w:tcW w:w="1617" w:type="dxa"/>
          </w:tcPr>
          <w:p w14:paraId="15BF0867" w14:textId="77777777" w:rsidR="0012209D" w:rsidRDefault="0012209D" w:rsidP="00946A07">
            <w:r>
              <w:t>Last updated:</w:t>
            </w:r>
          </w:p>
        </w:tc>
        <w:tc>
          <w:tcPr>
            <w:tcW w:w="8418" w:type="dxa"/>
          </w:tcPr>
          <w:p w14:paraId="15BF0868" w14:textId="7036891B" w:rsidR="0012209D" w:rsidRDefault="009E0B8E" w:rsidP="00946A07">
            <w:r>
              <w:t>January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946A07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186D4C0" w:rsidR="0012209D" w:rsidRPr="00447FD8" w:rsidRDefault="00577F7C" w:rsidP="004022C1">
            <w:pPr>
              <w:rPr>
                <w:b/>
                <w:bCs/>
              </w:rPr>
            </w:pPr>
            <w:r w:rsidRPr="5B4A8F77">
              <w:rPr>
                <w:b/>
                <w:bCs/>
              </w:rPr>
              <w:t xml:space="preserve">Head of </w:t>
            </w:r>
            <w:r w:rsidR="002F6B9D">
              <w:rPr>
                <w:b/>
                <w:bCs/>
              </w:rPr>
              <w:t>Faculty</w:t>
            </w:r>
            <w:r w:rsidR="002F6B9D" w:rsidRPr="5B4A8F77">
              <w:rPr>
                <w:b/>
                <w:bCs/>
              </w:rPr>
              <w:t xml:space="preserve"> </w:t>
            </w:r>
            <w:r w:rsidRPr="5B4A8F77">
              <w:rPr>
                <w:b/>
                <w:bCs/>
              </w:rPr>
              <w:t>Marketing</w:t>
            </w:r>
            <w:r>
              <w:rPr>
                <w:b/>
                <w:bCs/>
              </w:rPr>
              <w:t xml:space="preserve"> </w:t>
            </w:r>
          </w:p>
        </w:tc>
      </w:tr>
      <w:tr w:rsidR="00FE7693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A5D5132" w:rsidR="00FE7693" w:rsidRDefault="00FE7693" w:rsidP="00FE7693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59612823" w:rsidR="00FE7693" w:rsidRPr="009C2523" w:rsidRDefault="0005032E" w:rsidP="00FE7693">
            <w:r w:rsidRPr="009C2523">
              <w:t>Global Recruitment, Admissions and Marketing (GRAM)</w:t>
            </w:r>
          </w:p>
        </w:tc>
      </w:tr>
      <w:tr w:rsidR="00FE7693" w14:paraId="07201851" w14:textId="77777777" w:rsidTr="00946A0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FE7693" w:rsidRDefault="00FE7693" w:rsidP="00FE7693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63F1D" w:rsidR="00FE7693" w:rsidRDefault="00FE7693" w:rsidP="00FE7693">
            <w:r>
              <w:t>Student Experience Directorate (SED)</w:t>
            </w:r>
          </w:p>
        </w:tc>
      </w:tr>
      <w:tr w:rsidR="00FE7693" w14:paraId="15BF087A" w14:textId="77777777" w:rsidTr="00222DE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FE7693" w:rsidRDefault="00FE7693" w:rsidP="00FE7693">
            <w:r>
              <w:t>Career Pathway:</w:t>
            </w:r>
          </w:p>
        </w:tc>
        <w:tc>
          <w:tcPr>
            <w:tcW w:w="4620" w:type="dxa"/>
          </w:tcPr>
          <w:p w14:paraId="15BF0877" w14:textId="61CB3FE3" w:rsidR="00FE7693" w:rsidRDefault="00FE7693" w:rsidP="00FE7693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FE7693" w:rsidRDefault="00FE7693" w:rsidP="00FE7693">
            <w:r>
              <w:t>Level:</w:t>
            </w:r>
          </w:p>
        </w:tc>
        <w:tc>
          <w:tcPr>
            <w:tcW w:w="1756" w:type="dxa"/>
          </w:tcPr>
          <w:p w14:paraId="15BF0879" w14:textId="0A8A1BC1" w:rsidR="00FE7693" w:rsidRDefault="00A92751" w:rsidP="00FE7693">
            <w:r>
              <w:t>5</w:t>
            </w:r>
          </w:p>
        </w:tc>
      </w:tr>
      <w:tr w:rsidR="00FE7693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FE7693" w:rsidRDefault="00FE7693" w:rsidP="00FE7693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2FF30AD" w:rsidR="00FE7693" w:rsidRPr="005508A2" w:rsidRDefault="00FE7693" w:rsidP="00FE7693">
            <w:r>
              <w:t>Associate Director, Student Recruitment Marketing &amp; Events</w:t>
            </w:r>
          </w:p>
        </w:tc>
      </w:tr>
      <w:tr w:rsidR="00FE7693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FE7693" w:rsidRDefault="00FE7693" w:rsidP="00FE7693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2F3D9FA" w:rsidR="00FE7693" w:rsidRPr="005508A2" w:rsidRDefault="00FE7693" w:rsidP="00FE7693">
            <w:r>
              <w:t xml:space="preserve">Marketing </w:t>
            </w:r>
            <w:r w:rsidR="00473969">
              <w:t>Managers</w:t>
            </w:r>
          </w:p>
        </w:tc>
      </w:tr>
      <w:tr w:rsidR="00FE7693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FE7693" w:rsidRDefault="00FE7693" w:rsidP="00FE7693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124E6D4" w:rsidR="00FE7693" w:rsidRPr="005508A2" w:rsidRDefault="00FE7693" w:rsidP="00FE7693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22E7600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946A07">
            <w:r>
              <w:t>Job purpose</w:t>
            </w:r>
          </w:p>
        </w:tc>
      </w:tr>
      <w:tr w:rsidR="0012209D" w14:paraId="15BF088C" w14:textId="77777777" w:rsidTr="22E7600C">
        <w:trPr>
          <w:trHeight w:val="1134"/>
        </w:trPr>
        <w:tc>
          <w:tcPr>
            <w:tcW w:w="10137" w:type="dxa"/>
          </w:tcPr>
          <w:p w14:paraId="17AC1039" w14:textId="7F4DA067" w:rsidR="00B556F4" w:rsidRPr="009C2523" w:rsidRDefault="00B556F4" w:rsidP="0005032E">
            <w:r w:rsidRPr="009C2523">
              <w:t xml:space="preserve">The Head of Faculty Marketing plays a crucial role in the strategic alignment of </w:t>
            </w:r>
            <w:r w:rsidR="00EA329A" w:rsidRPr="009C2523">
              <w:t xml:space="preserve">our </w:t>
            </w:r>
            <w:proofErr w:type="gramStart"/>
            <w:r w:rsidRPr="009C2523">
              <w:t>Faculty</w:t>
            </w:r>
            <w:proofErr w:type="gramEnd"/>
            <w:r w:rsidRPr="009C2523">
              <w:t xml:space="preserve"> student recruitment ambitions and </w:t>
            </w:r>
            <w:r w:rsidR="00EA329A" w:rsidRPr="009C2523">
              <w:t xml:space="preserve">University-wide </w:t>
            </w:r>
            <w:r w:rsidRPr="009C2523">
              <w:t xml:space="preserve">strategic marketing activity. You will act as a trusted advisor and collaborative partner, developing a deep understanding of faculty priorities to help shape </w:t>
            </w:r>
            <w:r w:rsidR="00EA329A" w:rsidRPr="009C2523">
              <w:t xml:space="preserve">and sign-post </w:t>
            </w:r>
            <w:r w:rsidRPr="009C2523">
              <w:t>activity across Global Recruitment, Admissions and Marketing</w:t>
            </w:r>
            <w:r w:rsidR="00EA329A" w:rsidRPr="009C2523">
              <w:t xml:space="preserve"> (GRAM).</w:t>
            </w:r>
          </w:p>
          <w:p w14:paraId="72FD3267" w14:textId="77777777" w:rsidR="00B556F4" w:rsidRPr="009C2523" w:rsidRDefault="00B556F4" w:rsidP="00B556F4"/>
          <w:p w14:paraId="7A399CFE" w14:textId="68E98E79" w:rsidR="00B556F4" w:rsidRPr="009C2523" w:rsidRDefault="00EA329A" w:rsidP="00B556F4">
            <w:r w:rsidRPr="009C2523">
              <w:t>This role has a strong focus on</w:t>
            </w:r>
            <w:r w:rsidR="00B556F4" w:rsidRPr="009C2523">
              <w:t xml:space="preserve"> build</w:t>
            </w:r>
            <w:r w:rsidRPr="009C2523">
              <w:t xml:space="preserve">ing </w:t>
            </w:r>
            <w:r w:rsidR="00B556F4" w:rsidRPr="009C2523">
              <w:t>relationships across many areas of the university and</w:t>
            </w:r>
            <w:r w:rsidRPr="009C2523">
              <w:t xml:space="preserve"> requires</w:t>
            </w:r>
            <w:r w:rsidR="00B556F4" w:rsidRPr="009C2523">
              <w:t xml:space="preserve"> ‘joining the dots’ between many operational teams to deliver a strong and impactful strategy which will deliver success for your stakeholders.</w:t>
            </w:r>
          </w:p>
          <w:p w14:paraId="190F03A6" w14:textId="77777777" w:rsidR="00B556F4" w:rsidRPr="009C2523" w:rsidRDefault="00B556F4" w:rsidP="00B556F4"/>
          <w:p w14:paraId="3EF70617" w14:textId="12488C01" w:rsidR="00B556F4" w:rsidRPr="009C2523" w:rsidRDefault="00B556F4" w:rsidP="0005032E">
            <w:r w:rsidRPr="009C2523">
              <w:t xml:space="preserve">You will champion </w:t>
            </w:r>
            <w:r w:rsidR="00EA329A" w:rsidRPr="009C2523">
              <w:t>an insight and data informed approach to student number planning and have a strong working knowledge of the full range of marketing channels and campaign approaches used to support</w:t>
            </w:r>
            <w:r w:rsidRPr="009C2523">
              <w:t xml:space="preserve"> </w:t>
            </w:r>
            <w:r w:rsidR="00EA329A" w:rsidRPr="009C2523">
              <w:t xml:space="preserve">our brand, </w:t>
            </w:r>
            <w:r w:rsidRPr="009C2523">
              <w:t>reputation and student recruitment</w:t>
            </w:r>
            <w:r w:rsidR="00EA329A" w:rsidRPr="009C2523">
              <w:t>.</w:t>
            </w:r>
          </w:p>
          <w:p w14:paraId="5B878C28" w14:textId="77777777" w:rsidR="00B556F4" w:rsidRPr="009C2523" w:rsidRDefault="00B556F4" w:rsidP="00B556F4"/>
          <w:p w14:paraId="25A3B696" w14:textId="7482DDE5" w:rsidR="00B556F4" w:rsidRPr="009C2523" w:rsidRDefault="00B556F4" w:rsidP="0005032E">
            <w:r w:rsidRPr="009C2523">
              <w:t>In this role, you will:</w:t>
            </w:r>
          </w:p>
          <w:p w14:paraId="14A0649F" w14:textId="7AFB0B02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>Serve as a strategic advisor and senior liaison to faculty and school leadership</w:t>
            </w:r>
            <w:r w:rsidR="00AF29FD">
              <w:t>. You will</w:t>
            </w:r>
            <w:r w:rsidRPr="009C2523">
              <w:t xml:space="preserve"> align student recruitment marketing efforts with international growth plans, brand and reputation campaign</w:t>
            </w:r>
            <w:r w:rsidR="00EA329A" w:rsidRPr="009C2523">
              <w:t>s</w:t>
            </w:r>
            <w:r w:rsidRPr="009C2523">
              <w:t xml:space="preserve"> and outreach efforts.</w:t>
            </w:r>
          </w:p>
          <w:p w14:paraId="6840F037" w14:textId="2B4F29A0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 xml:space="preserve">Develop and lead annual planning to align faculty and school goals with university-wide marketing strategies, ensuring join up with wider teams (strategy and planning, careers and employability, student communications) and </w:t>
            </w:r>
            <w:r w:rsidR="000840B1" w:rsidRPr="009C2523">
              <w:t>connecting contacts</w:t>
            </w:r>
            <w:r w:rsidRPr="009C2523">
              <w:t xml:space="preserve"> </w:t>
            </w:r>
            <w:proofErr w:type="gramStart"/>
            <w:r w:rsidRPr="009C2523">
              <w:t>where</w:t>
            </w:r>
            <w:proofErr w:type="gramEnd"/>
            <w:r w:rsidRPr="009C2523">
              <w:t xml:space="preserve"> helpful.</w:t>
            </w:r>
          </w:p>
          <w:p w14:paraId="1E4C60A0" w14:textId="31B04B66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 xml:space="preserve">Collaborate across </w:t>
            </w:r>
            <w:r w:rsidR="004F5319">
              <w:t>GRAM</w:t>
            </w:r>
            <w:r w:rsidRPr="009C2523">
              <w:t xml:space="preserve"> teams and work with the wider leadership teams on cross-directorate projects such as staff engagement and learning and development.</w:t>
            </w:r>
          </w:p>
          <w:p w14:paraId="73238A27" w14:textId="7D8D700F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>Oversee the identification and development of impactful content that supports strategic reputation and recruitment goals, managing content planning.</w:t>
            </w:r>
          </w:p>
          <w:p w14:paraId="3577E491" w14:textId="52175D80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 xml:space="preserve">Provide expert insight into </w:t>
            </w:r>
            <w:r w:rsidR="00A5597B" w:rsidRPr="009C2523">
              <w:t>portfolio development</w:t>
            </w:r>
          </w:p>
          <w:p w14:paraId="538865D1" w14:textId="42EC7223" w:rsidR="00B556F4" w:rsidRPr="009C2523" w:rsidRDefault="00B556F4" w:rsidP="00B556F4">
            <w:pPr>
              <w:numPr>
                <w:ilvl w:val="0"/>
                <w:numId w:val="21"/>
              </w:numPr>
            </w:pPr>
            <w:r w:rsidRPr="009C2523">
              <w:t xml:space="preserve">Lead governance and budget oversight for faculty </w:t>
            </w:r>
            <w:r w:rsidR="00A5597B" w:rsidRPr="009C2523">
              <w:t xml:space="preserve">student recruitment </w:t>
            </w:r>
            <w:r w:rsidRPr="009C2523">
              <w:t>marketing activity, ensuring compliance (e.g., CMA, GDPR), quality assurance, and alignment with institutional priorities.</w:t>
            </w:r>
          </w:p>
          <w:p w14:paraId="07C0C7E7" w14:textId="43FFE83D" w:rsidR="00A5597B" w:rsidRPr="009C2523" w:rsidRDefault="00A5597B" w:rsidP="00B556F4">
            <w:pPr>
              <w:numPr>
                <w:ilvl w:val="0"/>
                <w:numId w:val="21"/>
              </w:numPr>
            </w:pPr>
            <w:r w:rsidRPr="009C2523">
              <w:t>Lead and develop a high performing team of around 11 marketing specialists, ensuring clear direction, strategic leadership and a strong collaborative culture.</w:t>
            </w:r>
          </w:p>
          <w:p w14:paraId="15BF088B" w14:textId="4BBF4E76" w:rsidR="007E19BB" w:rsidRDefault="007E19BB" w:rsidP="00A5597B">
            <w:pPr>
              <w:rPr>
                <w:szCs w:val="18"/>
              </w:rPr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6F952D53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946A07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946A07">
            <w:r>
              <w:t>% Time</w:t>
            </w:r>
          </w:p>
        </w:tc>
      </w:tr>
      <w:tr w:rsidR="0012209D" w14:paraId="15BF0894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1062D34A" w:rsidR="0012209D" w:rsidRDefault="00E810B6" w:rsidP="00946A07">
            <w:r w:rsidRPr="6F952D53">
              <w:t xml:space="preserve">Using market insight and data </w:t>
            </w:r>
            <w:r w:rsidR="00EA329A">
              <w:t>in collaboration with our strategic planning partners to support portfolio development. Using Faculty business plans to</w:t>
            </w:r>
            <w:r w:rsidRPr="6F952D53">
              <w:t xml:space="preserve"> develop a</w:t>
            </w:r>
            <w:r w:rsidR="00EA329A">
              <w:t>nnual</w:t>
            </w:r>
            <w:r w:rsidRPr="6F952D53">
              <w:t xml:space="preserve"> marketing plan</w:t>
            </w:r>
            <w:r w:rsidR="00EA329A">
              <w:t>s which meet faculty needs across a broad range of subjects, and ensure those needs are accounted for across GRAM</w:t>
            </w:r>
          </w:p>
        </w:tc>
        <w:tc>
          <w:tcPr>
            <w:tcW w:w="1027" w:type="dxa"/>
          </w:tcPr>
          <w:p w14:paraId="15BF0893" w14:textId="3A508777" w:rsidR="0012209D" w:rsidRDefault="00422E5B" w:rsidP="00946A07">
            <w:r>
              <w:t>3</w:t>
            </w:r>
            <w:r w:rsidR="002D36D7">
              <w:t>0</w:t>
            </w:r>
            <w:r w:rsidR="00343D93">
              <w:t>%</w:t>
            </w:r>
          </w:p>
        </w:tc>
      </w:tr>
      <w:tr w:rsidR="0012209D" w14:paraId="15BF0898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655731C0" w:rsidR="0012209D" w:rsidRDefault="00EA329A" w:rsidP="22E7600C">
            <w:r>
              <w:t xml:space="preserve">Lead and manage </w:t>
            </w:r>
            <w:r w:rsidRPr="6F952D53">
              <w:t>M</w:t>
            </w:r>
            <w:r>
              <w:t>arketing Manager</w:t>
            </w:r>
            <w:r w:rsidRPr="6F952D53">
              <w:t xml:space="preserve">s </w:t>
            </w:r>
            <w:r w:rsidR="007E5CEC" w:rsidRPr="6F952D53">
              <w:t>to</w:t>
            </w:r>
            <w:r w:rsidR="00E810B6" w:rsidRPr="6F952D53">
              <w:t xml:space="preserve"> </w:t>
            </w:r>
            <w:r w:rsidR="6DDB338E" w:rsidRPr="6F952D53">
              <w:t xml:space="preserve">develop a </w:t>
            </w:r>
            <w:r>
              <w:t xml:space="preserve">strong </w:t>
            </w:r>
            <w:r w:rsidR="6DDB338E" w:rsidRPr="6F952D53">
              <w:t xml:space="preserve">subject level market position </w:t>
            </w:r>
            <w:r>
              <w:t>and operationalise tactical plans</w:t>
            </w:r>
            <w:r w:rsidR="6DDB338E" w:rsidRPr="6F952D53">
              <w:t xml:space="preserve"> t</w:t>
            </w:r>
            <w:r w:rsidR="56A3924D" w:rsidRPr="6F952D53">
              <w:t>o</w:t>
            </w:r>
            <w:r w:rsidR="6DDB338E" w:rsidRPr="6F952D53">
              <w:t xml:space="preserve"> deliver growth</w:t>
            </w:r>
            <w:r w:rsidR="56A3924D" w:rsidRPr="6F952D53">
              <w:t xml:space="preserve"> objectives.</w:t>
            </w:r>
            <w:r w:rsidR="6DDB338E" w:rsidRPr="6F952D53">
              <w:t xml:space="preserve"> </w:t>
            </w:r>
            <w:r w:rsidR="56A3924D" w:rsidRPr="6F952D53">
              <w:t xml:space="preserve">Give focus to </w:t>
            </w:r>
            <w:r w:rsidR="6DDB338E" w:rsidRPr="6F952D53">
              <w:t xml:space="preserve">prospective student needs </w:t>
            </w:r>
            <w:r w:rsidR="56A3924D" w:rsidRPr="6F952D53">
              <w:t xml:space="preserve">throughout the user journey </w:t>
            </w:r>
            <w:r w:rsidR="6DDB338E" w:rsidRPr="6F952D53">
              <w:t>that will result in applications and firm accepts</w:t>
            </w:r>
            <w:r w:rsidR="56A3924D" w:rsidRPr="6F952D53">
              <w:t>.</w:t>
            </w:r>
          </w:p>
        </w:tc>
        <w:tc>
          <w:tcPr>
            <w:tcW w:w="1027" w:type="dxa"/>
          </w:tcPr>
          <w:p w14:paraId="15BF0897" w14:textId="26C96B2B" w:rsidR="0012209D" w:rsidRDefault="147633D1" w:rsidP="00946A07">
            <w:r>
              <w:t>2</w:t>
            </w:r>
            <w:r w:rsidR="304C502B">
              <w:t>0</w:t>
            </w:r>
            <w:r w:rsidR="00FE48CB">
              <w:t>%</w:t>
            </w:r>
          </w:p>
        </w:tc>
      </w:tr>
      <w:tr w:rsidR="0012209D" w14:paraId="15BF089C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6013C1C6" w:rsidR="0012209D" w:rsidRDefault="007E5CEC" w:rsidP="00EE13FB">
            <w:r w:rsidRPr="6F952D53">
              <w:t>M</w:t>
            </w:r>
            <w:r w:rsidR="00577F7C" w:rsidRPr="6F952D53">
              <w:t xml:space="preserve">onitor </w:t>
            </w:r>
            <w:r w:rsidRPr="6F952D53">
              <w:t xml:space="preserve">market performance </w:t>
            </w:r>
            <w:r w:rsidR="00577F7C" w:rsidRPr="6F952D53">
              <w:t xml:space="preserve">to inform decision making </w:t>
            </w:r>
            <w:r w:rsidRPr="6F952D53">
              <w:t>and respond in cycle with appropriate activity</w:t>
            </w:r>
            <w:r w:rsidR="00577F7C" w:rsidRPr="6F952D53">
              <w:t xml:space="preserve"> </w:t>
            </w:r>
            <w:r w:rsidR="00297395" w:rsidRPr="6F952D53">
              <w:t>and then adapt plans as appropriate</w:t>
            </w:r>
            <w:r w:rsidR="00807D7C" w:rsidRPr="6F952D53">
              <w:t xml:space="preserve">. </w:t>
            </w:r>
          </w:p>
        </w:tc>
        <w:tc>
          <w:tcPr>
            <w:tcW w:w="1027" w:type="dxa"/>
          </w:tcPr>
          <w:p w14:paraId="15BF089B" w14:textId="18210B98" w:rsidR="0012209D" w:rsidRDefault="002D36D7" w:rsidP="00946A07">
            <w:r>
              <w:t>1</w:t>
            </w:r>
            <w:r w:rsidR="002C72A1">
              <w:t>0</w:t>
            </w:r>
            <w:r w:rsidR="00343D93">
              <w:t>%</w:t>
            </w:r>
          </w:p>
        </w:tc>
      </w:tr>
      <w:tr w:rsidR="0012209D" w14:paraId="15BF08A0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46EF9692" w:rsidR="0012209D" w:rsidRDefault="00422E5B" w:rsidP="00946A07">
            <w:r>
              <w:t xml:space="preserve">Ensure </w:t>
            </w:r>
            <w:r w:rsidR="00EA329A">
              <w:t xml:space="preserve">wider </w:t>
            </w:r>
            <w:r>
              <w:t xml:space="preserve">teams are provided with subject level information and content to promote </w:t>
            </w:r>
            <w:r w:rsidR="00EA329A">
              <w:t xml:space="preserve">our </w:t>
            </w:r>
            <w:r>
              <w:t xml:space="preserve">subjects to potential students and their influencers </w:t>
            </w:r>
            <w:r w:rsidR="009C450E">
              <w:t>ensuring consistency across all channels</w:t>
            </w:r>
            <w:r w:rsidR="002C72A1">
              <w:t>.</w:t>
            </w:r>
            <w:r w:rsidR="009C450E">
              <w:t xml:space="preserve"> </w:t>
            </w:r>
          </w:p>
        </w:tc>
        <w:tc>
          <w:tcPr>
            <w:tcW w:w="1027" w:type="dxa"/>
          </w:tcPr>
          <w:p w14:paraId="15BF089F" w14:textId="70702C5D" w:rsidR="0012209D" w:rsidRDefault="00A77C64" w:rsidP="00946A07">
            <w:r>
              <w:t>1</w:t>
            </w:r>
            <w:r w:rsidR="009C450E">
              <w:t>0</w:t>
            </w:r>
            <w:r w:rsidR="00343D93">
              <w:t>%</w:t>
            </w:r>
          </w:p>
        </w:tc>
      </w:tr>
      <w:tr w:rsidR="22E7600C" w14:paraId="43DF7E97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712F201B" w14:textId="11EDFCDC" w:rsidR="474F2020" w:rsidRDefault="474F2020" w:rsidP="22E7600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Lucida Sans" w:cs="Lucida Sans"/>
                <w:szCs w:val="18"/>
              </w:rPr>
            </w:pPr>
            <w:r w:rsidRPr="22E7600C">
              <w:rPr>
                <w:szCs w:val="18"/>
              </w:rPr>
              <w:t xml:space="preserve"> </w:t>
            </w:r>
          </w:p>
        </w:tc>
        <w:tc>
          <w:tcPr>
            <w:tcW w:w="8118" w:type="dxa"/>
            <w:tcBorders>
              <w:left w:val="nil"/>
            </w:tcBorders>
          </w:tcPr>
          <w:p w14:paraId="2193E034" w14:textId="718A8434" w:rsidR="474F2020" w:rsidRDefault="00EA329A" w:rsidP="22E7600C">
            <w:pPr>
              <w:spacing w:line="257" w:lineRule="auto"/>
            </w:pPr>
            <w:r>
              <w:t>Lead and manage</w:t>
            </w:r>
            <w:r w:rsidR="474F2020" w:rsidRPr="6F952D53">
              <w:rPr>
                <w:rFonts w:eastAsia="Lucida Sans" w:cs="Lucida Sans"/>
                <w:color w:val="000000" w:themeColor="text1"/>
              </w:rPr>
              <w:t xml:space="preserve"> the Faculty Marketing </w:t>
            </w:r>
            <w:r>
              <w:rPr>
                <w:rFonts w:eastAsia="Lucida Sans" w:cs="Lucida Sans"/>
                <w:color w:val="000000" w:themeColor="text1"/>
              </w:rPr>
              <w:t>Team</w:t>
            </w:r>
            <w:r w:rsidR="474F2020" w:rsidRPr="6F952D53">
              <w:rPr>
                <w:rFonts w:eastAsia="Lucida Sans" w:cs="Lucida Sans"/>
                <w:color w:val="000000" w:themeColor="text1"/>
              </w:rPr>
              <w:t>, taking responsibility for the development and performance of team members through regular appraisal and objective setting</w:t>
            </w:r>
            <w:r>
              <w:rPr>
                <w:rFonts w:eastAsia="Lucida Sans" w:cs="Lucida Sans"/>
                <w:color w:val="000000" w:themeColor="text1"/>
              </w:rPr>
              <w:t>. Build a positive culture and a high performing team through coaching,</w:t>
            </w:r>
            <w:r w:rsidR="474F2020" w:rsidRPr="6F952D53">
              <w:rPr>
                <w:rFonts w:eastAsia="Lucida Sans" w:cs="Lucida Sans"/>
                <w:color w:val="000000" w:themeColor="text1"/>
              </w:rPr>
              <w:t xml:space="preserve"> performance </w:t>
            </w:r>
            <w:r>
              <w:rPr>
                <w:rFonts w:eastAsia="Lucida Sans" w:cs="Lucida Sans"/>
                <w:color w:val="000000" w:themeColor="text1"/>
              </w:rPr>
              <w:t xml:space="preserve">monitoring </w:t>
            </w:r>
            <w:r w:rsidR="474F2020" w:rsidRPr="6F952D53">
              <w:rPr>
                <w:rFonts w:eastAsia="Lucida Sans" w:cs="Lucida Sans"/>
                <w:color w:val="000000" w:themeColor="text1"/>
              </w:rPr>
              <w:t>and appropriate training and development activities.</w:t>
            </w:r>
          </w:p>
        </w:tc>
        <w:tc>
          <w:tcPr>
            <w:tcW w:w="1027" w:type="dxa"/>
          </w:tcPr>
          <w:p w14:paraId="24733CF5" w14:textId="25424508" w:rsidR="092033F7" w:rsidRDefault="092033F7" w:rsidP="22E7600C">
            <w:pPr>
              <w:rPr>
                <w:szCs w:val="18"/>
              </w:rPr>
            </w:pPr>
            <w:r w:rsidRPr="22E7600C">
              <w:rPr>
                <w:szCs w:val="18"/>
              </w:rPr>
              <w:t>10%</w:t>
            </w:r>
          </w:p>
        </w:tc>
      </w:tr>
      <w:tr w:rsidR="0094696A" w14:paraId="4FAD6094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28DE438D" w14:textId="77777777" w:rsidR="0094696A" w:rsidRDefault="0094696A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1D243AC" w14:textId="6DA52580" w:rsidR="0094696A" w:rsidRDefault="6DDB338E" w:rsidP="00C31B06">
            <w:r>
              <w:t xml:space="preserve">Report on use of budget to ensure a positive ROI and </w:t>
            </w:r>
            <w:r w:rsidR="00E67AF8">
              <w:t xml:space="preserve">that resource use reflects the ambitions of the </w:t>
            </w:r>
            <w:proofErr w:type="gramStart"/>
            <w:r w:rsidR="00E67AF8">
              <w:t>Faculties</w:t>
            </w:r>
            <w:proofErr w:type="gramEnd"/>
            <w:r w:rsidR="00E67AF8">
              <w:t>.</w:t>
            </w:r>
          </w:p>
        </w:tc>
        <w:tc>
          <w:tcPr>
            <w:tcW w:w="1027" w:type="dxa"/>
          </w:tcPr>
          <w:p w14:paraId="2A7B1A51" w14:textId="739C8A0C" w:rsidR="0094696A" w:rsidRDefault="00A77C64" w:rsidP="00946A07">
            <w:r>
              <w:t>5</w:t>
            </w:r>
            <w:r w:rsidR="0094696A">
              <w:t>%</w:t>
            </w:r>
          </w:p>
        </w:tc>
      </w:tr>
      <w:tr w:rsidR="002C72A1" w14:paraId="51A5A318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5C7F37CE" w14:textId="77777777" w:rsidR="002C72A1" w:rsidRDefault="002C72A1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78CCD74" w14:textId="31400575" w:rsidR="002C72A1" w:rsidRDefault="002C72A1" w:rsidP="6F952D53">
            <w:pPr>
              <w:rPr>
                <w:color w:val="D13438"/>
                <w:u w:val="single"/>
              </w:rPr>
            </w:pPr>
            <w:r w:rsidRPr="6F952D53">
              <w:t xml:space="preserve">A member of the </w:t>
            </w:r>
            <w:r w:rsidR="00E67AF8">
              <w:t>GRAM l</w:t>
            </w:r>
            <w:r w:rsidRPr="6F952D53">
              <w:t>eadership team overseeing market performance and ensuring collaborative and efficient effort across the functional teams</w:t>
            </w:r>
            <w:r w:rsidR="00E67AF8">
              <w:t xml:space="preserve"> as well as contributing to GRAM wide staff engagement and development.</w:t>
            </w:r>
          </w:p>
        </w:tc>
        <w:tc>
          <w:tcPr>
            <w:tcW w:w="1027" w:type="dxa"/>
          </w:tcPr>
          <w:p w14:paraId="0FB29909" w14:textId="0A98B751" w:rsidR="002C72A1" w:rsidRDefault="002C72A1" w:rsidP="00946A07">
            <w:r>
              <w:t>5%</w:t>
            </w:r>
          </w:p>
        </w:tc>
      </w:tr>
      <w:tr w:rsidR="00671F76" w14:paraId="4EBD8610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FE79AFA" w14:textId="21F22527" w:rsidR="00943F8A" w:rsidRDefault="00943F8A" w:rsidP="00943F8A">
            <w:pPr>
              <w:rPr>
                <w:rFonts w:ascii="Calibri" w:hAnsi="Calibri"/>
                <w:sz w:val="22"/>
                <w:lang w:eastAsia="zh-CN"/>
              </w:rPr>
            </w:pPr>
            <w:r>
              <w:rPr>
                <w:lang w:eastAsia="zh-CN"/>
              </w:rPr>
              <w:t xml:space="preserve">Contribute towards broader initiatives to ensure and implement an excellent applicant and student experience. </w:t>
            </w:r>
          </w:p>
          <w:p w14:paraId="607CF98D" w14:textId="1A072AA3" w:rsidR="00671F76" w:rsidRPr="00671F76" w:rsidRDefault="00943F8A" w:rsidP="00943F8A">
            <w:r>
              <w:rPr>
                <w:lang w:eastAsia="zh-CN"/>
              </w:rPr>
              <w:t xml:space="preserve">Participate in cross-functional activities such as </w:t>
            </w:r>
            <w:r w:rsidR="00E67AF8">
              <w:rPr>
                <w:lang w:eastAsia="zh-CN"/>
              </w:rPr>
              <w:t xml:space="preserve">content planning, </w:t>
            </w:r>
            <w:r>
              <w:rPr>
                <w:lang w:eastAsia="zh-CN"/>
              </w:rPr>
              <w:t>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357E70E3" w14:textId="61880004" w:rsidR="00671F76" w:rsidRDefault="002D36D7" w:rsidP="00671F76">
            <w:r>
              <w:t>5</w:t>
            </w:r>
            <w:r w:rsidR="00671F76">
              <w:t>%</w:t>
            </w:r>
          </w:p>
        </w:tc>
      </w:tr>
      <w:tr w:rsidR="00671F76" w14:paraId="02C51BD6" w14:textId="77777777" w:rsidTr="6F952D53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6F952D5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975802E" w:rsidR="00671F76" w:rsidRDefault="002D36D7" w:rsidP="00671F76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6F952D5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6F952D53">
        <w:trPr>
          <w:trHeight w:val="1134"/>
        </w:trPr>
        <w:tc>
          <w:tcPr>
            <w:tcW w:w="10137" w:type="dxa"/>
          </w:tcPr>
          <w:p w14:paraId="191A1DE9" w14:textId="3C6E96F5" w:rsidR="007E19BB" w:rsidRDefault="00397CDD" w:rsidP="00C31B06">
            <w:r>
              <w:t>GRA</w:t>
            </w:r>
            <w:r w:rsidR="00E67AF8">
              <w:t>M- Marketing and Campaigns teams, Enquiry Experience and CRM teams, Events team, International Recruitment teams, UK Student Recruitment team, Admissions and VISA teams.</w:t>
            </w:r>
          </w:p>
          <w:p w14:paraId="06E0419A" w14:textId="79A1F703" w:rsidR="008A4107" w:rsidRDefault="008A4107" w:rsidP="00C31B06">
            <w:r>
              <w:t xml:space="preserve">Faculty – Dean, </w:t>
            </w:r>
            <w:r w:rsidR="00E67AF8">
              <w:t>Associate Deans (Education)</w:t>
            </w:r>
            <w:r>
              <w:t>, Heads of School</w:t>
            </w:r>
            <w:r w:rsidR="00E67AF8">
              <w:t>, Deputy Heads of School (Education), Programmer</w:t>
            </w:r>
            <w:r w:rsidR="00FE48CB">
              <w:t xml:space="preserve"> </w:t>
            </w:r>
            <w:r w:rsidR="00E67AF8">
              <w:t>Leaders.</w:t>
            </w:r>
          </w:p>
          <w:p w14:paraId="562C97A2" w14:textId="152CA558" w:rsidR="00C31B06" w:rsidRDefault="00397CDD" w:rsidP="00C31B06">
            <w:r w:rsidRPr="6F952D53">
              <w:t>Digital User Experience Team</w:t>
            </w:r>
            <w:r w:rsidR="008A4107" w:rsidRPr="6F952D53">
              <w:t xml:space="preserve">, </w:t>
            </w:r>
            <w:r w:rsidR="00E67AF8">
              <w:t>Corporate Communications, Student Experience Directorate, Strategy Planning and Analytics</w:t>
            </w:r>
            <w:r w:rsidR="00AC1A49">
              <w:t>.</w:t>
            </w:r>
          </w:p>
          <w:p w14:paraId="083AA213" w14:textId="572E968B" w:rsidR="00AC1A49" w:rsidRDefault="00AC1A49" w:rsidP="00C31B06">
            <w:r>
              <w:t>External networks with peers and relevant suppliers.</w:t>
            </w:r>
          </w:p>
          <w:p w14:paraId="15BF08B0" w14:textId="096FDB26" w:rsidR="00C31B06" w:rsidRDefault="00C31B06" w:rsidP="008A4107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5CB6A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946A07">
            <w:r>
              <w:t>Special Requirements</w:t>
            </w:r>
          </w:p>
        </w:tc>
      </w:tr>
      <w:tr w:rsidR="00343D93" w14:paraId="0C44D04E" w14:textId="77777777" w:rsidTr="005CB6AF">
        <w:trPr>
          <w:trHeight w:val="1134"/>
        </w:trPr>
        <w:tc>
          <w:tcPr>
            <w:tcW w:w="10137" w:type="dxa"/>
          </w:tcPr>
          <w:p w14:paraId="6DA5CA0A" w14:textId="7FAA3062" w:rsidR="00343D93" w:rsidRDefault="00DE4DE5" w:rsidP="00343D93">
            <w:r>
              <w:t>Demonstrate Southampton University behaviours (Embedding Collegiality – see below).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6F952D5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946A0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946A0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946A0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946A0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6F952D53">
        <w:tc>
          <w:tcPr>
            <w:tcW w:w="1617" w:type="dxa"/>
          </w:tcPr>
          <w:p w14:paraId="15BF08BB" w14:textId="21456655" w:rsidR="00013C10" w:rsidRPr="00FD5B0E" w:rsidRDefault="00013C10" w:rsidP="00946A07">
            <w:r w:rsidRPr="6F952D53">
              <w:t xml:space="preserve">Qualifications, knowledge </w:t>
            </w:r>
            <w:r w:rsidR="00746AEB" w:rsidRPr="6F952D53">
              <w:t>and</w:t>
            </w:r>
            <w:r w:rsidRPr="6F952D53">
              <w:t xml:space="preserve"> experience</w:t>
            </w:r>
          </w:p>
        </w:tc>
        <w:tc>
          <w:tcPr>
            <w:tcW w:w="3402" w:type="dxa"/>
          </w:tcPr>
          <w:p w14:paraId="1DA2AB02" w14:textId="39A308CB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397CDD">
              <w:t>in marketing and communications</w:t>
            </w:r>
          </w:p>
          <w:p w14:paraId="529353B8" w14:textId="77777777" w:rsidR="004D4966" w:rsidRDefault="004D4966" w:rsidP="00601F61">
            <w:pPr>
              <w:spacing w:after="90"/>
            </w:pPr>
            <w:r>
              <w:t>Proven experience of managing outcomes in a specialist field.</w:t>
            </w:r>
          </w:p>
          <w:p w14:paraId="758F973E" w14:textId="77777777" w:rsidR="004D4966" w:rsidRDefault="004D4966" w:rsidP="00601F61">
            <w:pPr>
              <w:spacing w:after="90"/>
            </w:pPr>
            <w:r>
              <w:t>Proven project and/or people management skills.</w:t>
            </w:r>
          </w:p>
          <w:p w14:paraId="20AA0CB4" w14:textId="77777777" w:rsidR="004D4966" w:rsidRDefault="004D4966" w:rsidP="00601F61">
            <w:pPr>
              <w:spacing w:after="90"/>
            </w:pPr>
            <w:r>
              <w:t>Able to apply experience and awareness within specialist field.</w:t>
            </w:r>
          </w:p>
          <w:p w14:paraId="15BF08BC" w14:textId="0131364E" w:rsidR="004D4966" w:rsidRDefault="004D4966" w:rsidP="00601F61">
            <w:pPr>
              <w:spacing w:after="90"/>
            </w:pPr>
            <w:r>
              <w:t>Able to appreciate University priorities and to apply these in managing work outcomes.</w:t>
            </w:r>
          </w:p>
        </w:tc>
        <w:tc>
          <w:tcPr>
            <w:tcW w:w="3402" w:type="dxa"/>
          </w:tcPr>
          <w:p w14:paraId="549E0B20" w14:textId="4B4C4811" w:rsidR="00DE53F6" w:rsidRDefault="00DE53F6" w:rsidP="00617FAD">
            <w:pPr>
              <w:spacing w:after="90"/>
            </w:pPr>
            <w:r>
              <w:t xml:space="preserve">Membership of </w:t>
            </w:r>
            <w:r w:rsidRPr="00397CDD">
              <w:t>relevant p</w:t>
            </w:r>
            <w:r>
              <w:t xml:space="preserve">rofessional body </w:t>
            </w:r>
            <w:r w:rsidR="00397CDD">
              <w:t>CIM or similar</w:t>
            </w:r>
            <w:r>
              <w:t>.</w:t>
            </w:r>
          </w:p>
          <w:p w14:paraId="15BF08BD" w14:textId="189132F8" w:rsidR="004D4966" w:rsidRDefault="00807D7C" w:rsidP="00617FAD">
            <w:pPr>
              <w:spacing w:after="90"/>
            </w:pPr>
            <w:r w:rsidRPr="6F952D53">
              <w:t xml:space="preserve">Previous HE </w:t>
            </w:r>
            <w:proofErr w:type="gramStart"/>
            <w:r w:rsidRPr="6F952D53">
              <w:t>sector</w:t>
            </w:r>
            <w:proofErr w:type="gramEnd"/>
            <w:r w:rsidRPr="6F952D53">
              <w:t xml:space="preserve"> experience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6F952D53">
        <w:tc>
          <w:tcPr>
            <w:tcW w:w="1617" w:type="dxa"/>
          </w:tcPr>
          <w:p w14:paraId="15BF08C0" w14:textId="36B60D8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4AC99A0" w14:textId="77777777" w:rsidR="00807D7C" w:rsidRDefault="00807D7C" w:rsidP="00807D7C">
            <w:pPr>
              <w:spacing w:after="90"/>
            </w:pPr>
            <w:r>
              <w:t>Able to plan and manage major new projects or significant new activities, ensuring plans complement broader organisational strategy.</w:t>
            </w:r>
          </w:p>
          <w:p w14:paraId="6C8E4F69" w14:textId="77777777" w:rsidR="00807D7C" w:rsidRDefault="00807D7C" w:rsidP="00807D7C">
            <w:pPr>
              <w:spacing w:after="90"/>
            </w:pPr>
            <w:r>
              <w:t>Budget management experience, including planning and monitoring of resource in a changing environment.</w:t>
            </w:r>
          </w:p>
          <w:p w14:paraId="15BF08C1" w14:textId="2A896981" w:rsidR="00601F61" w:rsidRDefault="00807D7C" w:rsidP="00807D7C">
            <w:pPr>
              <w:spacing w:after="90"/>
            </w:pPr>
            <w:r>
              <w:t>Use of data from multiple sources to inform approaches.</w:t>
            </w:r>
          </w:p>
        </w:tc>
        <w:tc>
          <w:tcPr>
            <w:tcW w:w="3402" w:type="dxa"/>
          </w:tcPr>
          <w:p w14:paraId="6865BB6F" w14:textId="77777777" w:rsidR="00013C10" w:rsidRDefault="00807D7C" w:rsidP="00343D93">
            <w:pPr>
              <w:spacing w:after="90"/>
            </w:pPr>
            <w:r w:rsidRPr="6F952D53">
              <w:t xml:space="preserve">Experience of HE </w:t>
            </w:r>
            <w:proofErr w:type="gramStart"/>
            <w:r w:rsidRPr="6F952D53">
              <w:t>campaign</w:t>
            </w:r>
            <w:proofErr w:type="gramEnd"/>
            <w:r w:rsidRPr="6F952D53">
              <w:t xml:space="preserve"> management and implementation </w:t>
            </w:r>
          </w:p>
          <w:p w14:paraId="6F4AC2F8" w14:textId="77777777" w:rsidR="008A4107" w:rsidRDefault="008A4107" w:rsidP="00343D93">
            <w:pPr>
              <w:spacing w:after="90"/>
            </w:pPr>
          </w:p>
          <w:p w14:paraId="15BF08C2" w14:textId="4AE68525" w:rsidR="008A4107" w:rsidRDefault="008A4107" w:rsidP="00343D93">
            <w:pPr>
              <w:spacing w:after="90"/>
            </w:pPr>
            <w:r>
              <w:t>Experience of HE product promotion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6F952D53">
        <w:tc>
          <w:tcPr>
            <w:tcW w:w="1617" w:type="dxa"/>
          </w:tcPr>
          <w:p w14:paraId="15BF08C5" w14:textId="1EC20CD1" w:rsidR="00013C10" w:rsidRPr="00FD5B0E" w:rsidRDefault="00013C10" w:rsidP="00946A07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7FD0E66" w14:textId="77777777" w:rsidR="00D73BB9" w:rsidRDefault="004D4966" w:rsidP="00D73BB9">
            <w:pPr>
              <w:spacing w:after="90"/>
            </w:pPr>
            <w:r w:rsidRPr="6F952D53">
              <w:t>Able to identify broad trends to assess deep-rooted and complex issues.</w:t>
            </w:r>
          </w:p>
          <w:p w14:paraId="143FB6C8" w14:textId="77777777" w:rsidR="004D4966" w:rsidRDefault="004D4966" w:rsidP="00D73BB9">
            <w:pPr>
              <w:spacing w:after="90"/>
            </w:pPr>
            <w:r w:rsidRPr="6F952D53">
              <w:t>Able to apply originality in modifying existing approaches to solve problems.</w:t>
            </w:r>
          </w:p>
          <w:p w14:paraId="15BF08C6" w14:textId="3CFE1E61" w:rsidR="00807D7C" w:rsidRDefault="00807D7C" w:rsidP="00D73BB9">
            <w:pPr>
              <w:spacing w:after="90"/>
            </w:pPr>
            <w:r>
              <w:t>Able to understand the role of creativity in implementation of a strategic plan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6F952D53">
        <w:tc>
          <w:tcPr>
            <w:tcW w:w="1617" w:type="dxa"/>
          </w:tcPr>
          <w:p w14:paraId="15BF08CA" w14:textId="221E4483" w:rsidR="00013C10" w:rsidRPr="00FD5B0E" w:rsidRDefault="00013C10" w:rsidP="00946A07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B897B81" w14:textId="77777777" w:rsidR="00807D7C" w:rsidRDefault="00807D7C" w:rsidP="00807D7C">
            <w:pPr>
              <w:spacing w:after="90"/>
            </w:pPr>
            <w:r w:rsidRPr="00AE6344">
              <w:t>Proven experience in motivating and mentoring staff in a multi-functional setting</w:t>
            </w:r>
            <w:r>
              <w:t>.</w:t>
            </w:r>
          </w:p>
          <w:p w14:paraId="2453E1D3" w14:textId="77777777" w:rsidR="00807D7C" w:rsidRDefault="00807D7C" w:rsidP="00807D7C">
            <w:pPr>
              <w:spacing w:after="90"/>
            </w:pPr>
            <w:r>
              <w:t>Able to manage team dynamics, ensuring any potential for conflict is managed effectively.</w:t>
            </w:r>
          </w:p>
          <w:p w14:paraId="410B2CF3" w14:textId="77777777" w:rsidR="00807D7C" w:rsidRDefault="00807D7C" w:rsidP="00807D7C">
            <w:pPr>
              <w:spacing w:after="90"/>
            </w:pPr>
            <w:r>
              <w:t>Able to formulate development plans for own staff to meet current and future skill needs.</w:t>
            </w:r>
          </w:p>
          <w:p w14:paraId="64C84330" w14:textId="77777777" w:rsidR="00807D7C" w:rsidRDefault="00807D7C" w:rsidP="00807D7C">
            <w:pPr>
              <w:spacing w:after="90"/>
            </w:pPr>
            <w:r>
              <w:t>Able to provide expert guidance and advice to colleagues to resolve complex problems.</w:t>
            </w:r>
          </w:p>
          <w:p w14:paraId="15BF08CB" w14:textId="71C66B44" w:rsidR="004D4966" w:rsidRDefault="00807D7C" w:rsidP="00807D7C">
            <w:pPr>
              <w:spacing w:after="90"/>
            </w:pPr>
            <w:r w:rsidRPr="6F952D53">
              <w:t>A broad understanding of the student recruitment, marketing and events landscape to enable collegial contribution to the broader team.</w:t>
            </w:r>
          </w:p>
        </w:tc>
        <w:tc>
          <w:tcPr>
            <w:tcW w:w="3402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6F952D53">
        <w:tc>
          <w:tcPr>
            <w:tcW w:w="1617" w:type="dxa"/>
          </w:tcPr>
          <w:p w14:paraId="15BF08CF" w14:textId="5C26C100" w:rsidR="00013C10" w:rsidRPr="00FD5B0E" w:rsidRDefault="00013C10" w:rsidP="00946A07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F03F603" w14:textId="77777777" w:rsidR="00057DE4" w:rsidRDefault="004D4966" w:rsidP="00057DE4">
            <w:pPr>
              <w:spacing w:after="90"/>
            </w:pPr>
            <w:r w:rsidRPr="6F952D53">
              <w:t xml:space="preserve">Able to persuade and influence </w:t>
            </w:r>
            <w:proofErr w:type="gramStart"/>
            <w:r w:rsidRPr="6F952D53">
              <w:t>in order to</w:t>
            </w:r>
            <w:proofErr w:type="gramEnd"/>
            <w:r w:rsidRPr="6F952D53">
              <w:t xml:space="preserve"> foster and maintain relationships.</w:t>
            </w:r>
          </w:p>
          <w:p w14:paraId="15BF08D0" w14:textId="452D4A7E" w:rsidR="004D4966" w:rsidRDefault="004D4966" w:rsidP="00057DE4">
            <w:pPr>
              <w:spacing w:after="90"/>
            </w:pPr>
            <w:r>
              <w:t>Able to resolve tensions and difficulties as they arise.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6F952D53">
        <w:tc>
          <w:tcPr>
            <w:tcW w:w="1617" w:type="dxa"/>
          </w:tcPr>
          <w:p w14:paraId="15BF08D4" w14:textId="4601913A" w:rsidR="00013C10" w:rsidRPr="00FD5B0E" w:rsidRDefault="00013C10" w:rsidP="00946A07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BFB11FD" w:rsidR="00013C10" w:rsidRDefault="00807D7C" w:rsidP="00702D64">
            <w:pPr>
              <w:spacing w:after="90"/>
            </w:pPr>
            <w:r w:rsidRPr="6F952D53">
              <w:t>Proficiency in partnership working, understanding competing priorities and ensuring mutual benefit.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6F952D53">
        <w:tc>
          <w:tcPr>
            <w:tcW w:w="1617" w:type="dxa"/>
          </w:tcPr>
          <w:p w14:paraId="15BF08D9" w14:textId="77777777" w:rsidR="00013C10" w:rsidRPr="00FD5B0E" w:rsidRDefault="00013C10" w:rsidP="6F952D53">
            <w:r w:rsidRPr="6F952D53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6F952D53">
        <w:tc>
          <w:tcPr>
            <w:tcW w:w="908" w:type="dxa"/>
          </w:tcPr>
          <w:p w14:paraId="3C59876E" w14:textId="4576D41D" w:rsidR="00D3349E" w:rsidRDefault="00000000" w:rsidP="00E264FD">
            <w:sdt>
              <w:sdtPr>
                <w:id w:val="579254332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0B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 w:rsidRPr="6F952D53">
              <w:t>If this post is an office-based job with routine office hazards (</w:t>
            </w:r>
            <w:proofErr w:type="spellStart"/>
            <w:r w:rsidRPr="6F952D53">
              <w:t>eg</w:t>
            </w:r>
            <w:proofErr w:type="spellEnd"/>
            <w:r w:rsidRPr="6F952D53">
              <w:t>: use of VDU)</w:t>
            </w:r>
            <w:r w:rsidR="009064A9" w:rsidRPr="6F952D53">
              <w:t>,</w:t>
            </w:r>
            <w:r w:rsidRPr="6F952D53">
              <w:t xml:space="preserve"> no further information needs to be supplied.</w:t>
            </w:r>
            <w:r w:rsidR="009064A9" w:rsidRPr="6F952D53">
              <w:t xml:space="preserve"> Do not complete the section below.</w:t>
            </w:r>
          </w:p>
        </w:tc>
      </w:tr>
      <w:tr w:rsidR="00D3349E" w14:paraId="48115143" w14:textId="77777777" w:rsidTr="6F952D53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6F952D53">
              <w:t>If this post is not office-based or has some hazards other than routine office (</w:t>
            </w:r>
            <w:proofErr w:type="spellStart"/>
            <w:r w:rsidRPr="6F952D53">
              <w:t>eg</w:t>
            </w:r>
            <w:proofErr w:type="spellEnd"/>
            <w:r w:rsidRPr="6F952D53">
              <w:t>: more than use of VDU) please 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6F952D53">
        <w:t>## - HR will send a full PEHQ to all applicants for this position.</w:t>
      </w:r>
      <w:r w:rsidR="00D3349E" w:rsidRPr="6F952D53">
        <w:t xml:space="preserve"> </w:t>
      </w:r>
      <w:r w:rsidR="009064A9" w:rsidRPr="6F952D53">
        <w:t xml:space="preserve">Please note, if </w:t>
      </w:r>
      <w:r w:rsidR="00D3349E" w:rsidRPr="6F952D53">
        <w:t xml:space="preserve">full health clearance is required for a role, </w:t>
      </w:r>
      <w:r w:rsidR="009064A9" w:rsidRPr="6F952D53">
        <w:t xml:space="preserve">this will apply to </w:t>
      </w:r>
      <w:r w:rsidR="00D3349E" w:rsidRPr="6F952D53">
        <w:t>all individuals</w:t>
      </w:r>
      <w:r w:rsidR="009064A9" w:rsidRPr="6F952D53">
        <w:t>,</w:t>
      </w:r>
      <w:r w:rsidR="00D3349E" w:rsidRPr="6F952D53">
        <w:t xml:space="preserve"> </w:t>
      </w:r>
      <w:r w:rsidR="009064A9" w:rsidRPr="6F952D53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6F952D53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946A0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946A0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946A0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946A0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946A0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946A0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946A0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8F1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vAlign w:val="center"/>
          </w:tcPr>
          <w:p w14:paraId="15BF08F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8F6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>Extremes of temperature (</w:t>
            </w:r>
            <w:proofErr w:type="spellStart"/>
            <w:r w:rsidRPr="6F952D53">
              <w:rPr>
                <w:sz w:val="16"/>
                <w:szCs w:val="16"/>
              </w:rPr>
              <w:t>eg</w:t>
            </w:r>
            <w:proofErr w:type="spellEnd"/>
            <w:r w:rsidRPr="6F952D53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vAlign w:val="center"/>
          </w:tcPr>
          <w:p w14:paraId="15BF08F7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8FB" w14:textId="72EFE44B" w:rsidR="0012209D" w:rsidRPr="009957AE" w:rsidRDefault="004263FE" w:rsidP="0094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vAlign w:val="center"/>
          </w:tcPr>
          <w:p w14:paraId="15BF08FC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D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00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1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6F952D53">
        <w:trPr>
          <w:jc w:val="center"/>
        </w:trPr>
        <w:tc>
          <w:tcPr>
            <w:tcW w:w="5929" w:type="dxa"/>
            <w:tcBorders>
              <w:bottom w:val="nil"/>
            </w:tcBorders>
            <w:vAlign w:val="center"/>
          </w:tcPr>
          <w:p w14:paraId="15BF0905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>## Exposure to hazardous substances (</w:t>
            </w:r>
            <w:proofErr w:type="spellStart"/>
            <w:r w:rsidRPr="6F952D53">
              <w:rPr>
                <w:sz w:val="16"/>
                <w:szCs w:val="16"/>
              </w:rPr>
              <w:t>eg</w:t>
            </w:r>
            <w:proofErr w:type="spellEnd"/>
            <w:r w:rsidRPr="6F952D53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6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7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0C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vAlign w:val="center"/>
          </w:tcPr>
          <w:p w14:paraId="15BF090D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6F952D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11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1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6F952D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18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vAlign w:val="center"/>
          </w:tcPr>
          <w:p w14:paraId="15BF091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A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B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1D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6F952D53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6F952D53">
              <w:rPr>
                <w:sz w:val="16"/>
                <w:szCs w:val="16"/>
              </w:rPr>
              <w:t>eg</w:t>
            </w:r>
            <w:proofErr w:type="spellEnd"/>
            <w:r w:rsidRPr="6F952D53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vAlign w:val="center"/>
          </w:tcPr>
          <w:p w14:paraId="15BF091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0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22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vAlign w:val="center"/>
          </w:tcPr>
          <w:p w14:paraId="15BF092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5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6F952D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27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>## Vibrating tools (</w:t>
            </w:r>
            <w:proofErr w:type="spellStart"/>
            <w:r w:rsidRPr="6F952D53">
              <w:rPr>
                <w:sz w:val="16"/>
                <w:szCs w:val="16"/>
              </w:rPr>
              <w:t>eg</w:t>
            </w:r>
            <w:proofErr w:type="spellEnd"/>
            <w:r w:rsidRPr="6F952D53">
              <w:rPr>
                <w:sz w:val="16"/>
                <w:szCs w:val="16"/>
              </w:rPr>
              <w:t xml:space="preserve">: </w:t>
            </w:r>
            <w:proofErr w:type="spellStart"/>
            <w:r w:rsidRPr="6F952D53">
              <w:rPr>
                <w:sz w:val="16"/>
                <w:szCs w:val="16"/>
              </w:rPr>
              <w:t>strimmers</w:t>
            </w:r>
            <w:proofErr w:type="spellEnd"/>
            <w:r w:rsidRPr="6F952D53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2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A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6F952D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2E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vAlign w:val="center"/>
          </w:tcPr>
          <w:p w14:paraId="15BF092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0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1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33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vAlign w:val="center"/>
          </w:tcPr>
          <w:p w14:paraId="15BF093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5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6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38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vAlign w:val="center"/>
          </w:tcPr>
          <w:p w14:paraId="15BF093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A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B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3D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vAlign w:val="center"/>
          </w:tcPr>
          <w:p w14:paraId="15BF093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0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42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vAlign w:val="center"/>
          </w:tcPr>
          <w:p w14:paraId="15BF094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5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47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>Repetitive climbing (</w:t>
            </w:r>
            <w:proofErr w:type="spellStart"/>
            <w:r w:rsidRPr="6F952D53">
              <w:rPr>
                <w:sz w:val="16"/>
                <w:szCs w:val="16"/>
              </w:rPr>
              <w:t>ie</w:t>
            </w:r>
            <w:proofErr w:type="spellEnd"/>
            <w:r w:rsidRPr="6F952D53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vAlign w:val="center"/>
          </w:tcPr>
          <w:p w14:paraId="15BF094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A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4C" w14:textId="77777777" w:rsidR="0012209D" w:rsidRPr="009957AE" w:rsidRDefault="0012209D" w:rsidP="6F952D53">
            <w:pPr>
              <w:rPr>
                <w:sz w:val="16"/>
                <w:szCs w:val="16"/>
              </w:rPr>
            </w:pPr>
            <w:r w:rsidRPr="6F952D53">
              <w:rPr>
                <w:sz w:val="16"/>
                <w:szCs w:val="16"/>
              </w:rPr>
              <w:t>Fine motor grips (</w:t>
            </w:r>
            <w:proofErr w:type="spellStart"/>
            <w:r w:rsidRPr="6F952D53">
              <w:rPr>
                <w:sz w:val="16"/>
                <w:szCs w:val="16"/>
              </w:rPr>
              <w:t>eg</w:t>
            </w:r>
            <w:proofErr w:type="spellEnd"/>
            <w:r w:rsidRPr="6F952D53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vAlign w:val="center"/>
          </w:tcPr>
          <w:p w14:paraId="15BF094D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51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vAlign w:val="center"/>
          </w:tcPr>
          <w:p w14:paraId="15BF095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56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vAlign w:val="center"/>
          </w:tcPr>
          <w:p w14:paraId="15BF0957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5B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vAlign w:val="center"/>
          </w:tcPr>
          <w:p w14:paraId="15BF095C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D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6F952D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60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61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6F952D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67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vAlign w:val="center"/>
          </w:tcPr>
          <w:p w14:paraId="15BF0968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9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A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6C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vAlign w:val="center"/>
          </w:tcPr>
          <w:p w14:paraId="15BF096D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E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F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6F952D53">
        <w:trPr>
          <w:jc w:val="center"/>
        </w:trPr>
        <w:tc>
          <w:tcPr>
            <w:tcW w:w="5929" w:type="dxa"/>
            <w:vAlign w:val="center"/>
          </w:tcPr>
          <w:p w14:paraId="15BF0971" w14:textId="77777777" w:rsidR="0012209D" w:rsidRPr="009957AE" w:rsidRDefault="0012209D" w:rsidP="00946A0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vAlign w:val="center"/>
          </w:tcPr>
          <w:p w14:paraId="15BF0972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3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4" w14:textId="77777777" w:rsidR="0012209D" w:rsidRPr="009957AE" w:rsidRDefault="0012209D" w:rsidP="00946A07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353DCEB6" w14:textId="77777777" w:rsidR="005636F4" w:rsidRDefault="005636F4" w:rsidP="0012209D"/>
    <w:p w14:paraId="0BA88473" w14:textId="77777777" w:rsidR="005636F4" w:rsidRDefault="005636F4" w:rsidP="0012209D"/>
    <w:p w14:paraId="747E9769" w14:textId="77777777" w:rsidR="005636F4" w:rsidRDefault="005636F4" w:rsidP="0012209D"/>
    <w:p w14:paraId="4C387B30" w14:textId="77777777" w:rsidR="005636F4" w:rsidRDefault="005636F4" w:rsidP="0012209D"/>
    <w:p w14:paraId="3B99226C" w14:textId="77777777" w:rsidR="005636F4" w:rsidRDefault="005636F4" w:rsidP="0012209D"/>
    <w:p w14:paraId="2CFD78DD" w14:textId="77777777" w:rsidR="005D5E44" w:rsidRDefault="005D5E44" w:rsidP="005D5E44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t>Appendix 1. </w:t>
      </w:r>
      <w:r w:rsidRPr="00516F89">
        <w:rPr>
          <w:rFonts w:cs="Segoe UI"/>
          <w:color w:val="808080"/>
          <w:sz w:val="32"/>
          <w:szCs w:val="32"/>
        </w:rPr>
        <w:t>Embedding Collegiality </w:t>
      </w:r>
    </w:p>
    <w:p w14:paraId="13128E1B" w14:textId="77777777" w:rsidR="005D5E44" w:rsidRPr="00516F89" w:rsidRDefault="005D5E44" w:rsidP="005D5E44">
      <w:pPr>
        <w:spacing w:after="0"/>
        <w:ind w:left="315"/>
        <w:rPr>
          <w:rFonts w:ascii="Segoe UI" w:hAnsi="Segoe UI" w:cs="Segoe UI"/>
          <w:szCs w:val="18"/>
        </w:rPr>
      </w:pPr>
    </w:p>
    <w:p w14:paraId="49E250CA" w14:textId="77777777" w:rsidR="005D5E44" w:rsidRDefault="005D5E44" w:rsidP="6F952D53">
      <w:pPr>
        <w:spacing w:after="0"/>
        <w:ind w:left="315" w:right="750"/>
        <w:rPr>
          <w:rFonts w:cs="Segoe UI"/>
          <w:b/>
          <w:bCs/>
        </w:rPr>
      </w:pPr>
      <w:r w:rsidRPr="6F952D53">
        <w:rPr>
          <w:rFonts w:cs="Segoe UI"/>
        </w:rPr>
        <w:t>Collegiality represents one of the four core principles of the </w:t>
      </w:r>
      <w:proofErr w:type="gramStart"/>
      <w:r w:rsidRPr="6F952D53">
        <w:rPr>
          <w:rFonts w:cs="Segoe UI"/>
        </w:rPr>
        <w:t>University;</w:t>
      </w:r>
      <w:proofErr w:type="gramEnd"/>
      <w:r w:rsidRPr="6F952D53">
        <w:rPr>
          <w:rFonts w:cs="Segoe UI"/>
        </w:rPr>
        <w:t> Collegiality, Quality, Internationalisation and Sustainability. Our Southampton Behaviours set out our expectations of all staff across the University to support the achievement of our strategy.</w:t>
      </w:r>
      <w:r w:rsidRPr="6F952D53">
        <w:rPr>
          <w:rFonts w:cs="Segoe UI"/>
          <w:b/>
          <w:bCs/>
        </w:rPr>
        <w:t> </w:t>
      </w:r>
    </w:p>
    <w:p w14:paraId="7A1F8EE4" w14:textId="77777777" w:rsidR="005636F4" w:rsidRDefault="005636F4" w:rsidP="0012209D"/>
    <w:p w14:paraId="56111655" w14:textId="6892983D" w:rsidR="00946A07" w:rsidRPr="0012209D" w:rsidRDefault="00946A07" w:rsidP="0012209D">
      <w:r>
        <w:rPr>
          <w:noProof/>
        </w:rPr>
        <w:drawing>
          <wp:inline distT="0" distB="0" distL="0" distR="0" wp14:anchorId="5AE74270" wp14:editId="74EC9A33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A07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A280" w14:textId="77777777" w:rsidR="00C66E06" w:rsidRDefault="00C66E06">
      <w:r>
        <w:separator/>
      </w:r>
    </w:p>
    <w:p w14:paraId="5CEAD29A" w14:textId="77777777" w:rsidR="00C66E06" w:rsidRDefault="00C66E06"/>
  </w:endnote>
  <w:endnote w:type="continuationSeparator" w:id="0">
    <w:p w14:paraId="4F80A124" w14:textId="77777777" w:rsidR="00C66E06" w:rsidRDefault="00C66E06">
      <w:r>
        <w:continuationSeparator/>
      </w:r>
    </w:p>
    <w:p w14:paraId="14B2D4B9" w14:textId="77777777" w:rsidR="00C66E06" w:rsidRDefault="00C66E06"/>
  </w:endnote>
  <w:endnote w:type="continuationNotice" w:id="1">
    <w:p w14:paraId="6B468131" w14:textId="77777777" w:rsidR="00C66E06" w:rsidRDefault="00C66E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09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5DE26" w14:textId="79F34C23" w:rsidR="009E0B8E" w:rsidRDefault="009E0B8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097F" w14:textId="1FE4E2FE" w:rsidR="00062768" w:rsidRDefault="00062768" w:rsidP="00F37770">
    <w:pPr>
      <w:pStyle w:val="Continuation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03FD" w14:textId="77777777" w:rsidR="00C66E06" w:rsidRDefault="00C66E06">
      <w:r>
        <w:separator/>
      </w:r>
    </w:p>
    <w:p w14:paraId="7235C1DF" w14:textId="77777777" w:rsidR="00C66E06" w:rsidRDefault="00C66E06"/>
  </w:footnote>
  <w:footnote w:type="continuationSeparator" w:id="0">
    <w:p w14:paraId="368BBA13" w14:textId="77777777" w:rsidR="00C66E06" w:rsidRDefault="00C66E06">
      <w:r>
        <w:continuationSeparator/>
      </w:r>
    </w:p>
    <w:p w14:paraId="296E3DC6" w14:textId="77777777" w:rsidR="00C66E06" w:rsidRDefault="00C66E06"/>
  </w:footnote>
  <w:footnote w:type="continuationNotice" w:id="1">
    <w:p w14:paraId="36565439" w14:textId="77777777" w:rsidR="00C66E06" w:rsidRDefault="00C66E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B2CB1"/>
    <w:multiLevelType w:val="multilevel"/>
    <w:tmpl w:val="6936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20CB5"/>
    <w:multiLevelType w:val="multilevel"/>
    <w:tmpl w:val="086A3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E333A"/>
    <w:multiLevelType w:val="multilevel"/>
    <w:tmpl w:val="83E69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61768103">
    <w:abstractNumId w:val="5"/>
  </w:num>
  <w:num w:numId="2" w16cid:durableId="1453596782">
    <w:abstractNumId w:val="20"/>
  </w:num>
  <w:num w:numId="3" w16cid:durableId="1703674275">
    <w:abstractNumId w:val="0"/>
  </w:num>
  <w:num w:numId="4" w16cid:durableId="2111974438">
    <w:abstractNumId w:val="15"/>
  </w:num>
  <w:num w:numId="5" w16cid:durableId="1252200224">
    <w:abstractNumId w:val="11"/>
  </w:num>
  <w:num w:numId="6" w16cid:durableId="39866886">
    <w:abstractNumId w:val="12"/>
  </w:num>
  <w:num w:numId="7" w16cid:durableId="1206912565">
    <w:abstractNumId w:val="9"/>
  </w:num>
  <w:num w:numId="8" w16cid:durableId="2059428564">
    <w:abstractNumId w:val="4"/>
  </w:num>
  <w:num w:numId="9" w16cid:durableId="935944801">
    <w:abstractNumId w:val="7"/>
  </w:num>
  <w:num w:numId="10" w16cid:durableId="654915877">
    <w:abstractNumId w:val="2"/>
  </w:num>
  <w:num w:numId="11" w16cid:durableId="1147748952">
    <w:abstractNumId w:val="10"/>
  </w:num>
  <w:num w:numId="12" w16cid:durableId="1326589281">
    <w:abstractNumId w:val="6"/>
  </w:num>
  <w:num w:numId="13" w16cid:durableId="1255238292">
    <w:abstractNumId w:val="16"/>
  </w:num>
  <w:num w:numId="14" w16cid:durableId="1347637241">
    <w:abstractNumId w:val="17"/>
  </w:num>
  <w:num w:numId="15" w16cid:durableId="83303127">
    <w:abstractNumId w:val="8"/>
  </w:num>
  <w:num w:numId="16" w16cid:durableId="1014188246">
    <w:abstractNumId w:val="3"/>
  </w:num>
  <w:num w:numId="17" w16cid:durableId="339238297">
    <w:abstractNumId w:val="13"/>
  </w:num>
  <w:num w:numId="18" w16cid:durableId="1628899732">
    <w:abstractNumId w:val="14"/>
  </w:num>
  <w:num w:numId="19" w16cid:durableId="58752124">
    <w:abstractNumId w:val="18"/>
  </w:num>
  <w:num w:numId="20" w16cid:durableId="958801088">
    <w:abstractNumId w:val="19"/>
  </w:num>
  <w:num w:numId="21" w16cid:durableId="11583083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99E"/>
    <w:rsid w:val="00013C10"/>
    <w:rsid w:val="00015087"/>
    <w:rsid w:val="00045878"/>
    <w:rsid w:val="0005032E"/>
    <w:rsid w:val="0005274A"/>
    <w:rsid w:val="00057DE4"/>
    <w:rsid w:val="00060FAA"/>
    <w:rsid w:val="00062768"/>
    <w:rsid w:val="00063081"/>
    <w:rsid w:val="00071653"/>
    <w:rsid w:val="000824F4"/>
    <w:rsid w:val="000840B1"/>
    <w:rsid w:val="000978E8"/>
    <w:rsid w:val="000B1DED"/>
    <w:rsid w:val="000B4E5A"/>
    <w:rsid w:val="000D59AB"/>
    <w:rsid w:val="001024DA"/>
    <w:rsid w:val="00102BCB"/>
    <w:rsid w:val="0012209D"/>
    <w:rsid w:val="001532E2"/>
    <w:rsid w:val="00156F2F"/>
    <w:rsid w:val="0016063F"/>
    <w:rsid w:val="00170A83"/>
    <w:rsid w:val="0018144C"/>
    <w:rsid w:val="001840EA"/>
    <w:rsid w:val="00191A2C"/>
    <w:rsid w:val="001B2DE2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395"/>
    <w:rsid w:val="0029789A"/>
    <w:rsid w:val="002A70BE"/>
    <w:rsid w:val="002B061D"/>
    <w:rsid w:val="002C6198"/>
    <w:rsid w:val="002C72A1"/>
    <w:rsid w:val="002D36D7"/>
    <w:rsid w:val="002D4DF4"/>
    <w:rsid w:val="002E7C28"/>
    <w:rsid w:val="002F0308"/>
    <w:rsid w:val="002F1698"/>
    <w:rsid w:val="002F6B9D"/>
    <w:rsid w:val="003026CE"/>
    <w:rsid w:val="0030348E"/>
    <w:rsid w:val="00312C9E"/>
    <w:rsid w:val="00313CC8"/>
    <w:rsid w:val="003178D9"/>
    <w:rsid w:val="0034151E"/>
    <w:rsid w:val="00343D93"/>
    <w:rsid w:val="003468BE"/>
    <w:rsid w:val="00364B2C"/>
    <w:rsid w:val="00365C3D"/>
    <w:rsid w:val="003701F7"/>
    <w:rsid w:val="00382AF5"/>
    <w:rsid w:val="00397CDD"/>
    <w:rsid w:val="003A2001"/>
    <w:rsid w:val="003B0262"/>
    <w:rsid w:val="003B7540"/>
    <w:rsid w:val="004022C1"/>
    <w:rsid w:val="00422E5B"/>
    <w:rsid w:val="004263FE"/>
    <w:rsid w:val="00463797"/>
    <w:rsid w:val="00467596"/>
    <w:rsid w:val="00473969"/>
    <w:rsid w:val="00474D00"/>
    <w:rsid w:val="004B2A50"/>
    <w:rsid w:val="004C0252"/>
    <w:rsid w:val="004D4966"/>
    <w:rsid w:val="004F5319"/>
    <w:rsid w:val="005125FA"/>
    <w:rsid w:val="0051744C"/>
    <w:rsid w:val="00524005"/>
    <w:rsid w:val="00541CE0"/>
    <w:rsid w:val="005534E1"/>
    <w:rsid w:val="005636F4"/>
    <w:rsid w:val="00573487"/>
    <w:rsid w:val="00577F7C"/>
    <w:rsid w:val="00580CBF"/>
    <w:rsid w:val="005907B3"/>
    <w:rsid w:val="005949FA"/>
    <w:rsid w:val="005CB6AF"/>
    <w:rsid w:val="005D44D1"/>
    <w:rsid w:val="005D5E44"/>
    <w:rsid w:val="005F5CEE"/>
    <w:rsid w:val="00601F61"/>
    <w:rsid w:val="00617FAD"/>
    <w:rsid w:val="006249FD"/>
    <w:rsid w:val="00635D15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55DDF"/>
    <w:rsid w:val="00761108"/>
    <w:rsid w:val="007652EF"/>
    <w:rsid w:val="00782617"/>
    <w:rsid w:val="00791076"/>
    <w:rsid w:val="0079197B"/>
    <w:rsid w:val="00791A2A"/>
    <w:rsid w:val="007C22CC"/>
    <w:rsid w:val="007C6FAA"/>
    <w:rsid w:val="007E19BB"/>
    <w:rsid w:val="007E2D19"/>
    <w:rsid w:val="007E5CEC"/>
    <w:rsid w:val="007F2AEA"/>
    <w:rsid w:val="00807D7C"/>
    <w:rsid w:val="00813365"/>
    <w:rsid w:val="00813A2C"/>
    <w:rsid w:val="0082020C"/>
    <w:rsid w:val="0082075E"/>
    <w:rsid w:val="00835FC0"/>
    <w:rsid w:val="008361A1"/>
    <w:rsid w:val="008443D8"/>
    <w:rsid w:val="00854B1E"/>
    <w:rsid w:val="00856B8A"/>
    <w:rsid w:val="00876272"/>
    <w:rsid w:val="00883499"/>
    <w:rsid w:val="00885FD1"/>
    <w:rsid w:val="008961F9"/>
    <w:rsid w:val="008A4107"/>
    <w:rsid w:val="008D52C9"/>
    <w:rsid w:val="008F03C7"/>
    <w:rsid w:val="008F6EBA"/>
    <w:rsid w:val="009064A9"/>
    <w:rsid w:val="0091331C"/>
    <w:rsid w:val="009419A4"/>
    <w:rsid w:val="00943F8A"/>
    <w:rsid w:val="00945F4B"/>
    <w:rsid w:val="009464AF"/>
    <w:rsid w:val="0094696A"/>
    <w:rsid w:val="00946A07"/>
    <w:rsid w:val="00954E47"/>
    <w:rsid w:val="00965BFB"/>
    <w:rsid w:val="00970E28"/>
    <w:rsid w:val="0098120F"/>
    <w:rsid w:val="00996476"/>
    <w:rsid w:val="009A23FB"/>
    <w:rsid w:val="009C2523"/>
    <w:rsid w:val="009C450E"/>
    <w:rsid w:val="009E0B8E"/>
    <w:rsid w:val="009F4BD1"/>
    <w:rsid w:val="009F619B"/>
    <w:rsid w:val="00A021B7"/>
    <w:rsid w:val="00A131D9"/>
    <w:rsid w:val="00A14888"/>
    <w:rsid w:val="00A23226"/>
    <w:rsid w:val="00A34296"/>
    <w:rsid w:val="00A521A9"/>
    <w:rsid w:val="00A5597B"/>
    <w:rsid w:val="00A7244A"/>
    <w:rsid w:val="00A77C64"/>
    <w:rsid w:val="00A925C0"/>
    <w:rsid w:val="00A92751"/>
    <w:rsid w:val="00AA3CB5"/>
    <w:rsid w:val="00AC1A49"/>
    <w:rsid w:val="00AC2B17"/>
    <w:rsid w:val="00AE1CA0"/>
    <w:rsid w:val="00AE39DC"/>
    <w:rsid w:val="00AE4DC4"/>
    <w:rsid w:val="00AF202C"/>
    <w:rsid w:val="00AF29FD"/>
    <w:rsid w:val="00B02F38"/>
    <w:rsid w:val="00B430BB"/>
    <w:rsid w:val="00B51ABF"/>
    <w:rsid w:val="00B556F4"/>
    <w:rsid w:val="00B677CB"/>
    <w:rsid w:val="00B84C12"/>
    <w:rsid w:val="00B93065"/>
    <w:rsid w:val="00BA0438"/>
    <w:rsid w:val="00BB4A42"/>
    <w:rsid w:val="00BB7845"/>
    <w:rsid w:val="00BF1CC6"/>
    <w:rsid w:val="00C04C79"/>
    <w:rsid w:val="00C31B06"/>
    <w:rsid w:val="00C66E06"/>
    <w:rsid w:val="00C907D0"/>
    <w:rsid w:val="00C942C9"/>
    <w:rsid w:val="00CB1F23"/>
    <w:rsid w:val="00CD04F0"/>
    <w:rsid w:val="00CE3A26"/>
    <w:rsid w:val="00D120AF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4DE5"/>
    <w:rsid w:val="00DE53F6"/>
    <w:rsid w:val="00DE553C"/>
    <w:rsid w:val="00DF478E"/>
    <w:rsid w:val="00E01106"/>
    <w:rsid w:val="00E01D5A"/>
    <w:rsid w:val="00E25775"/>
    <w:rsid w:val="00E264FD"/>
    <w:rsid w:val="00E3619D"/>
    <w:rsid w:val="00E363B8"/>
    <w:rsid w:val="00E63AC1"/>
    <w:rsid w:val="00E66F6D"/>
    <w:rsid w:val="00E67AF8"/>
    <w:rsid w:val="00E810B6"/>
    <w:rsid w:val="00E83481"/>
    <w:rsid w:val="00E96015"/>
    <w:rsid w:val="00EA329A"/>
    <w:rsid w:val="00EB589D"/>
    <w:rsid w:val="00ED2E52"/>
    <w:rsid w:val="00EE13FB"/>
    <w:rsid w:val="00F01EA0"/>
    <w:rsid w:val="00F135E0"/>
    <w:rsid w:val="00F37770"/>
    <w:rsid w:val="00F378D2"/>
    <w:rsid w:val="00F77B31"/>
    <w:rsid w:val="00F8442D"/>
    <w:rsid w:val="00F84583"/>
    <w:rsid w:val="00F85DED"/>
    <w:rsid w:val="00F90F90"/>
    <w:rsid w:val="00FB7297"/>
    <w:rsid w:val="00FC2ADA"/>
    <w:rsid w:val="00FE48CB"/>
    <w:rsid w:val="00FE7693"/>
    <w:rsid w:val="00FF140B"/>
    <w:rsid w:val="00FF246F"/>
    <w:rsid w:val="07B834A7"/>
    <w:rsid w:val="092033F7"/>
    <w:rsid w:val="09777047"/>
    <w:rsid w:val="0B1340A8"/>
    <w:rsid w:val="11F18145"/>
    <w:rsid w:val="147633D1"/>
    <w:rsid w:val="1A9E89B5"/>
    <w:rsid w:val="217924A5"/>
    <w:rsid w:val="22291F99"/>
    <w:rsid w:val="22E7600C"/>
    <w:rsid w:val="2456DA65"/>
    <w:rsid w:val="253E21C3"/>
    <w:rsid w:val="2C1FBE7B"/>
    <w:rsid w:val="304C502B"/>
    <w:rsid w:val="3E5C90A0"/>
    <w:rsid w:val="3EEBFD34"/>
    <w:rsid w:val="4498EA83"/>
    <w:rsid w:val="474F2020"/>
    <w:rsid w:val="48F59ABC"/>
    <w:rsid w:val="4B52416F"/>
    <w:rsid w:val="4D28F282"/>
    <w:rsid w:val="5284EFC2"/>
    <w:rsid w:val="56A3924D"/>
    <w:rsid w:val="58F43146"/>
    <w:rsid w:val="58FD7D44"/>
    <w:rsid w:val="5B4A8F77"/>
    <w:rsid w:val="5FEBCCCE"/>
    <w:rsid w:val="6535A23D"/>
    <w:rsid w:val="6DDB338E"/>
    <w:rsid w:val="6EDFCFA0"/>
    <w:rsid w:val="6F952D53"/>
    <w:rsid w:val="738984B7"/>
    <w:rsid w:val="73B340C3"/>
    <w:rsid w:val="74A4B1D9"/>
    <w:rsid w:val="75D79D41"/>
    <w:rsid w:val="78044582"/>
    <w:rsid w:val="7820771C"/>
    <w:rsid w:val="7A7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A20445B0-7910-46C8-82C1-749AD654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character" w:customStyle="1" w:styleId="FooterChar">
    <w:name w:val="Footer Char"/>
    <w:basedOn w:val="DefaultParagraphFont"/>
    <w:link w:val="Footer"/>
    <w:uiPriority w:val="99"/>
    <w:rsid w:val="009E0B8E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B556F4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395A-0DE1-403F-B0B7-D09130E3B101}"/>
      </w:docPartPr>
      <w:docPartBody>
        <w:p w:rsidR="00500246" w:rsidRDefault="005002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246"/>
    <w:rsid w:val="000727D8"/>
    <w:rsid w:val="00275DAD"/>
    <w:rsid w:val="00500246"/>
    <w:rsid w:val="00CF712A"/>
    <w:rsid w:val="00D120AF"/>
    <w:rsid w:val="00E83481"/>
    <w:rsid w:val="00F77B31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9515AD882B45A98893DB716E7E91" ma:contentTypeVersion="8" ma:contentTypeDescription="Create a new document." ma:contentTypeScope="" ma:versionID="4b0de9d1c35dbe0a6b896ecdd2ead4b5">
  <xsd:schema xmlns:xsd="http://www.w3.org/2001/XMLSchema" xmlns:xs="http://www.w3.org/2001/XMLSchema" xmlns:p="http://schemas.microsoft.com/office/2006/metadata/properties" xmlns:ns2="3eeec830-67ae-4499-94d1-ae08dec93345" xmlns:ns3="d8a37dce-5355-469f-b5c8-ee768994470c" targetNamespace="http://schemas.microsoft.com/office/2006/metadata/properties" ma:root="true" ma:fieldsID="c9d8e8a880322db3ac83217b689df07b" ns2:_="" ns3:_="">
    <xsd:import namespace="3eeec830-67ae-4499-94d1-ae08dec93345"/>
    <xsd:import namespace="d8a37dce-5355-469f-b5c8-ee768994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c830-67ae-4499-94d1-ae08dec9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37dce-5355-469f-b5c8-ee768994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A97BE-EEE3-4826-A293-236E195FA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ec830-67ae-4499-94d1-ae08dec93345"/>
    <ds:schemaRef ds:uri="d8a37dce-5355-469f-b5c8-ee768994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C2197-2D2D-4F71-9188-B8D451C21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8190</Characters>
  <Application>Microsoft Office Word</Application>
  <DocSecurity>0</DocSecurity>
  <Lines>372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Janice Poon</cp:lastModifiedBy>
  <cp:revision>3</cp:revision>
  <cp:lastPrinted>2008-01-15T01:11:00Z</cp:lastPrinted>
  <dcterms:created xsi:type="dcterms:W3CDTF">2025-11-10T10:30:00Z</dcterms:created>
  <dcterms:modified xsi:type="dcterms:W3CDTF">2025-11-24T10:12:00Z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0x01010071C69515AD882B45A98893DB716E7E91</vt:lpwstr>
  </property>
  <property fmtid="{D5CDD505-2E9C-101B-9397-08002B2CF9AE}" pid="3" name="Order">
    <vt:r8>234200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